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A1" w:rsidRPr="005B77A1" w:rsidRDefault="007372B4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  <w:r w:rsidRPr="007372B4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 xml:space="preserve">                             Կ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Ա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Ն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Ո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Ն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Ա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Դ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Ր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ՈՒ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Թ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Յ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ՈՒ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Ն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  <w:r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ՀԱՅԱՍՏԱՆԻ  ՀԱՆՐԱՊԵՏՈՒԹՅԱՆ ԱՐՄԱՎԻՐԻ</w:t>
      </w:r>
      <w:r w:rsidR="00E12717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 xml:space="preserve"> ՄԱՐԶԻ ԽՈՅ  </w:t>
      </w:r>
      <w:r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 xml:space="preserve">  ՀԱՄԱՅՆՔԻ  ԱՐԱԳԱԾ  ԳՅՈՒՂԻ</w:t>
      </w: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32"/>
          <w:szCs w:val="21"/>
          <w:lang w:val="hy-AM" w:eastAsia="ru-RU"/>
        </w:rPr>
      </w:pPr>
      <w:r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« ԱՐԱԳԱԾԻ  ՄԱՆԿԱՊԱՐՏԵԶ »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 xml:space="preserve"> ՀԱՄԱՅՆՔԱՅԻՆ ՈՉ ԱՌԵՎՏՐԱՅԻՆ ԿԱԶՄԱԿԵՐՊՈՒԹՅԱՆ</w:t>
      </w: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32"/>
          <w:szCs w:val="21"/>
          <w:lang w:val="hy-AM"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                                                      1. ԸՆԴՀԱՆՈՒՐ ԴՐՈՒՅԹՆԵՐ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1. Հայաստանի Հանրապետության </w:t>
      </w:r>
      <w:r w:rsidR="00E12717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Արմավիրի մարզի Արագած գյուղի </w:t>
      </w:r>
      <w:bookmarkStart w:id="0" w:name="_GoBack"/>
      <w:bookmarkEnd w:id="0"/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«Արագածի մանկապարտեզ» ՀՈԱԿ-ը իրավաբանական անձի կարգավիճակ ունեցող նախադպրոցական ուսումնական հաստատություն է (այսուհետ՝ հաստատություն), որը շահույթ չհետապնդող հաստատություն է,որը  համապատասխան լիցենզիայի հիման վրա իրականացնում է նախադպրոցական կրթական  տեսակի ծրագրեր: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Հաստատությունը ստեղծվել է 2011 թ-ի հունիսի  01-ի, Արագած  համայնքի ղեկավարի 2011թվականի հունիսի 01-ի N 5 նիստի թիվ 2 որոշմամբ: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3. Հաստատության գտնվելու վայրն է՝ Հայաստանի Հանրապետություն,  Խոյ համայնք, Արագած գյուղ, Հաղթանակի  պողոտա, 28 շենք: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5. Հաստատության անվանումն է`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1) հայերեն լրիվ` « Արագածի  մանկապարտեզ» ՀՈԱԿ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2) հայերեն կրճատ՝« Արագածի  մանկապարտեզ» ՀՈԱԿ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3) ռուսերեն լրիվ` «</w:t>
      </w:r>
      <w:r w:rsidRPr="005B77A1">
        <w:rPr>
          <w:rFonts w:ascii="GHEA Grapalat" w:hAnsi="GHEA Grapalat" w:cs="Arial"/>
          <w:sz w:val="18"/>
          <w:szCs w:val="18"/>
          <w:lang w:val="hy-AM"/>
        </w:rPr>
        <w:t xml:space="preserve">АРАГАЦСКИЙ </w:t>
      </w:r>
      <w:r w:rsidRPr="005B77A1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  <w:r w:rsidRPr="005B77A1">
        <w:rPr>
          <w:rFonts w:ascii="GHEA Grapalat" w:hAnsi="GHEA Grapalat" w:cs="Arial"/>
          <w:sz w:val="18"/>
          <w:szCs w:val="18"/>
          <w:lang w:val="hy-AM"/>
        </w:rPr>
        <w:t>ДЕТСКИЙ</w:t>
      </w:r>
      <w:r w:rsidRPr="005B77A1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  <w:r w:rsidRPr="005B77A1">
        <w:rPr>
          <w:rFonts w:ascii="GHEA Grapalat" w:hAnsi="GHEA Grapalat" w:cs="Arial"/>
          <w:sz w:val="18"/>
          <w:szCs w:val="18"/>
          <w:lang w:val="hy-AM"/>
        </w:rPr>
        <w:t>САД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» </w:t>
      </w:r>
      <w:r w:rsidRPr="005B77A1">
        <w:rPr>
          <w:rFonts w:ascii="GHEA Grapalat" w:hAnsi="GHEA Grapalat" w:cs="Arial Armenian"/>
          <w:sz w:val="18"/>
          <w:szCs w:val="18"/>
          <w:lang w:val="hy-AM"/>
        </w:rPr>
        <w:t xml:space="preserve"> ОНКО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4) ռուսերեն կրճատ` «</w:t>
      </w:r>
      <w:r w:rsidRPr="005B77A1">
        <w:rPr>
          <w:rFonts w:ascii="GHEA Grapalat" w:hAnsi="GHEA Grapalat" w:cs="Arial"/>
          <w:sz w:val="18"/>
          <w:szCs w:val="18"/>
          <w:lang w:val="ru-RU"/>
        </w:rPr>
        <w:t xml:space="preserve">АРАГАЦСКИЙ </w:t>
      </w:r>
      <w:r w:rsidRPr="005B77A1">
        <w:rPr>
          <w:rFonts w:ascii="GHEA Grapalat" w:hAnsi="GHEA Grapalat" w:cs="Arial Armenian"/>
          <w:sz w:val="18"/>
          <w:szCs w:val="18"/>
          <w:lang w:val="ru-RU"/>
        </w:rPr>
        <w:t xml:space="preserve"> </w:t>
      </w:r>
      <w:r w:rsidRPr="005B77A1">
        <w:rPr>
          <w:rFonts w:ascii="GHEA Grapalat" w:hAnsi="GHEA Grapalat" w:cs="Arial"/>
          <w:sz w:val="18"/>
          <w:szCs w:val="18"/>
          <w:lang w:val="ru-RU"/>
        </w:rPr>
        <w:t>ДЕТСКИЙ</w:t>
      </w:r>
      <w:r w:rsidRPr="005B77A1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  <w:r w:rsidRPr="005B77A1">
        <w:rPr>
          <w:rFonts w:ascii="GHEA Grapalat" w:hAnsi="GHEA Grapalat" w:cs="Arial"/>
          <w:sz w:val="18"/>
          <w:szCs w:val="18"/>
          <w:lang w:val="ru-RU"/>
        </w:rPr>
        <w:t>САД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»</w:t>
      </w:r>
    </w:p>
    <w:p w:rsidR="005B77A1" w:rsidRPr="005B77A1" w:rsidRDefault="005B77A1" w:rsidP="005B77A1">
      <w:pPr>
        <w:keepNext/>
        <w:spacing w:after="0" w:line="240" w:lineRule="auto"/>
        <w:outlineLvl w:val="0"/>
        <w:rPr>
          <w:rFonts w:ascii="GHEA Grapalat" w:eastAsia="Times New Roman" w:hAnsi="GHEA Grapalat" w:cs="Times New Roman"/>
          <w:sz w:val="18"/>
          <w:szCs w:val="18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    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ru-RU"/>
        </w:rPr>
        <w:t>5) անգլերեն լրիվ` «</w:t>
      </w:r>
      <w:r w:rsidRPr="005B77A1">
        <w:rPr>
          <w:rFonts w:ascii="GHEA Grapalat" w:eastAsia="Times New Roman" w:hAnsi="GHEA Grapalat" w:cs="Times New Roman"/>
          <w:sz w:val="18"/>
          <w:szCs w:val="18"/>
          <w:lang w:eastAsia="ru-RU"/>
        </w:rPr>
        <w:t>ARAGATS</w:t>
      </w:r>
      <w:r w:rsidRPr="005B77A1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՛</w:t>
      </w:r>
      <w:r w:rsidRPr="005B77A1">
        <w:rPr>
          <w:rFonts w:ascii="GHEA Grapalat" w:eastAsia="Times New Roman" w:hAnsi="GHEA Grapalat" w:cs="Times New Roman"/>
          <w:sz w:val="18"/>
          <w:szCs w:val="18"/>
          <w:lang w:eastAsia="ru-RU"/>
        </w:rPr>
        <w:t>S KINDERGARTEN</w:t>
      </w:r>
      <w:r w:rsidRPr="005B77A1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»</w:t>
      </w:r>
      <w:r w:rsidRPr="005B77A1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</w:t>
      </w:r>
      <w:r w:rsidRPr="005B77A1">
        <w:rPr>
          <w:rFonts w:ascii="GHEA Grapalat" w:eastAsia="Times New Roman" w:hAnsi="GHEA Grapalat" w:cs="Times New Roman"/>
          <w:sz w:val="18"/>
          <w:szCs w:val="18"/>
          <w:lang w:eastAsia="ru-RU"/>
        </w:rPr>
        <w:t>CNCO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անգլերեն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կրճատ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` «</w:t>
      </w:r>
      <w:r w:rsidRPr="005B77A1">
        <w:rPr>
          <w:rFonts w:ascii="GHEA Grapalat" w:hAnsi="GHEA Grapalat"/>
          <w:sz w:val="18"/>
          <w:szCs w:val="18"/>
        </w:rPr>
        <w:t>ARAGATS</w:t>
      </w:r>
      <w:r w:rsidRPr="005B77A1">
        <w:rPr>
          <w:rFonts w:ascii="GHEA Grapalat" w:hAnsi="GHEA Grapalat"/>
          <w:sz w:val="18"/>
          <w:szCs w:val="18"/>
          <w:lang w:val="hy-AM"/>
        </w:rPr>
        <w:t>՛</w:t>
      </w:r>
      <w:r w:rsidRPr="005B77A1">
        <w:rPr>
          <w:rFonts w:ascii="GHEA Grapalat" w:hAnsi="GHEA Grapalat"/>
          <w:sz w:val="18"/>
          <w:szCs w:val="18"/>
        </w:rPr>
        <w:t>S KINDERGARTEN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»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6.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ունենալ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զինանշանի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պատկերով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անվանմամբ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կլոր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կնիք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ձևաթղթեր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խորհրդանիշ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Կնիքը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ձևաթղթերը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խորհրդանիշը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ձևավորելիս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անհրաժեշտության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զուգակցվել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լեզուներ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պաշտոնական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կայք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որտեղ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հրապարակվում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նախահաշիվը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ծախսերի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հաստիքացուցակը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թափուր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աշխատատեղերը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հայտարարությունները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8.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ինքնուրույն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հաշվեկշիռ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բանկային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հաշիվ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9.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հանդիսանալ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10.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օտարերկրյա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11.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թույլատրվում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քաղաքական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2.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ԱՌԱՐԿԱՆ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ՆՊԱՏԱԿԸ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12.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առարկան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միջոցով։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13.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նպատակը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առանձնահատուկ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կարիք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ունեցող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գործընթացին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առավելագույն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մասնակցության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չափորոշչով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արդյունքների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է։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14.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շահ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հասարակության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15.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համագործակցելով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ընտանիքի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ներդաշնակ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ամրապնդումն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մայրենի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լեզվով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հաղորդակցվելու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լեզուների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տիրապետման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նախադրյալները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վարվեցողության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հայրենի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բնապահպանության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պատմության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մշակույթի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ծանոթացումը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մտավոր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բարոյական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գեղագիտական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ֆիզիկական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հիմքերի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հայրենիքի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սիրո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նվիրվածության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հմտությունների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ծանոթացումը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շեղումների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կանխարգելումն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շտկումը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նախապատրաստումը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16.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ժողովրդավարության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մարդասիրության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ներառականության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համամարդկային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արժեքների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զուգորդման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աշխարհիկ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բնույթի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սկզբունքների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17.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չափորոշիչին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ֆիզիոլոգիական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սոցիալ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հոգեբանական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lastRenderedPageBreak/>
        <w:t>առանձնահատկություններին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հակումներին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ընդունակություններին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18.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ծառայություններում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որպես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անբաժանելի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ներառվել՝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ուսումնամեթոդական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փորձարարական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հետազոտական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մասնագիտական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կատարելագործման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անվտանգության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պահպանելով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առողջապահության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կազմակերպումը՝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պահպանելով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առողջապահության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տրանսպորտային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փոխադրումները։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19.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ձեռնարկատիրական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հետևյալ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տեսակները՝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մարզաառողջարարական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ճամբարներում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վճարովի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ծառայություններ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ռեսուրս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կենտրոններ՝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մասնագետների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վերապատրաստման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խորհրդատվական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դասընթացներ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միտված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դասընթացներ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ճկուն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ծառայություններ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երկարօրյա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շուրջօրյա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խնամք։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3.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ԿԱՌՈՒՑՎԱԾՔԸ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ԿՐԹԱԴԱՍՏԻԱՐԱԿՉԱԿԱՆ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ԳՈՐԾՈՒՆԵՈՒԹՅՈՒՆԸ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20.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երաշխավորված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այլընտրանքային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փորձարարական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21.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մակարդակը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բովանդակային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բաղադրիչների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որոնք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ըստ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առանձնահատուկ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կարիքի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գիտելիքների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հմտությունների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ձևավորմամբ՝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ոլորտներին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ուղղություններին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22.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Հանրապետությունում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կրթությունն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հայերենով՝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Լեզվի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»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»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4-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րդ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հոդվածի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6-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րդ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23.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փոքրամասնությունների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մայրենի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լեզվով՝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պարտադիր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24.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ընդունելությունը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անկախ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ներկայացուցչի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դիմումի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ներկայացուցչի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25.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ներկայացուցչի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օրինակելի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26.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առավելագույն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խտությունը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27.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սկսվում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սեպտեմբերի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1-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հարմարվողականության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փուլի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ժամկետները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շաբաթական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պարապմունքների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բաշխման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ցանկը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օրինակելի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թողած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ծավալը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լրացնելու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28.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տեղափոխումն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օգոստոսի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20-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մինչև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30-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համալրվում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ամբողջ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ընթացքում՝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29.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տարատարիք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տարբեր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յուրացնող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30.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ըստ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տեսակների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մսուր՝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0-3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մսուր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մանկապարտեզ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0-6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մանկապարտեզ՝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3-6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նախակրթարան՝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5-6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կենտրոն՝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0-6`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բոլոր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որևէ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31.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մնալու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տևողությունը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32.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Թույլատրվում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ցերեկային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երեկոյան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շուրջօրյա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հանգստյան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տոնական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ինչպես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հաճախումը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33.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առողջապահության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բնագավառի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ներքին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օրինակելի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սննդակազմի։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34.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բժշկական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հաստիքային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բժշկական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անձնակազմի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ֆիզիկական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բուժկանխարգելիչ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անցկացման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սանիտարահիգիենիկ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որակի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35.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անձնակազմերը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ընդունվելիս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հետագայում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1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անգամ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ենթարկվում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բժշկական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զննության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4.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ԿՐԹԱԴԱՍՏԻԱՐԱԿՉԱԿԱՆ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ԳՈՐԾԸՆԹԱՑԻ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ՄԱՍՆԱԿԻՑՆԵՐԸ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36.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գործընթացի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մասնակիցներն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ներկայացուցիչը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մեթոդիստը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տեղակալը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օգնականը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լոգոպեդը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հոգեբանը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սոցիալական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ֆիզիկական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կուլտուրայի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հրահանգիչը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բուժաշխատողը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խմբակի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մասնագետներ։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37.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ընդունելության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ժամանակ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պարտավոր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ներկայացուցիչներին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ծանոթացնել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փաստաթղթերի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որոնք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կանոնակարգում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38.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փոխհարաբերությունները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կարգավորվում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նրանց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39.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աշխատակիցների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փոխհարաբերությունները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կառուցվում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հանդեպ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հարգանքի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40.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անձինք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որոնց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որակավորումն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ստաժը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տարիֆաորակավորման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բնութագրերին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41.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իրավունքներն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պարտականությունները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աշխատաժամանակի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տևողությունը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կարգավորվում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օրենքներով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ակտերով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5.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ԿԱՌԱՎԱՐՈՒՄԸ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42.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գործադիր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այսուհետ՝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43.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վերաբերող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ցանկացած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վերջնական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44.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բացառիկ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փոփոխությունների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համակարգի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վերակազմակերպումը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հանձնաժողովի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հաշվեկշռի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հարցերի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45.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`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ընդհանուր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բնականոն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չկատարման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ոչ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պատշաճ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վերահսկողություն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կասեցնում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ուժը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կորցրած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ճանաչում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հակասող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հրահանգները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կարգադրություններն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ցուցումները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կառուցվածքն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կառուցվածքային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ստորաբաժանումների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իրավասությունները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լսում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քննում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վերստուգման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արդյունքները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վերահսկողություն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տալիս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8)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հաշվեկշիռը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9)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գործառույթներ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46.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ուսումնադաստիարակչական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արդյունավետ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նպատակով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խորհրդակցական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խորհուրդներ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խորհրդակցական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հոգաբարձուների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շրջանավարտների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47.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խորհուրդը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կազմավորվում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համակազմի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օգոստոսյան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առաջին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նիստում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խորհուրդը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ժամկետով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անվանական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գրանցվում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արձանագրությունների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մատյանում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48.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բոլոր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49.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ընթացիկ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օրենքներով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վերապահված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սահմաններում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ակտերի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չկատարելու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ոչ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պատշաճ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50.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Տնօրենը՝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լիազորագրի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հանդես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գալիս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անունից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շահերը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գործարքներ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նախագահում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նիստերը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տալիս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անունից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հանդես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գալու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լիազորագրեր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վերալիազորման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լիազորագրեր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նշանակում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նրանց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կիրառում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խրախուսման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նշանակում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կարգապահական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տույժեր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բանկերում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հաշվարկային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հաշիվներ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7)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սահմաններում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արձակում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հրահանգներ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տալիս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պարտադիր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ցուցումներ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8)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պաշտոնների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անվանացանկի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պաշտոնի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նկարագրի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անցկացնում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թափուր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մրցույթը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կադրերի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ընտրությունը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բաշխում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9)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վերահսկողություն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պարտականությունների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10)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ներքին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կարգապահության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պաշտպանության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անվտանգության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տեխնիկայի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հաստիքային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ցուցակն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ծախսերի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նախահաշիվը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հաստատմանը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չափորոշչին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ուսումնադաստիարակչական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գործընթացի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51.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բացակայության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գրավոր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մեթոդիստը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տեղակալը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իսկ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անհնարինության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5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փորձ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ունեցող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մասնագետը։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52.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Մեթոդիստը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տեղակալը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proofErr w:type="gramEnd"/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որակի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մեթոդկաբինետի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մշտապես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հաղորդակից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դարձնում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գիտությունների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նորույթներին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վերաբերյալ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իրազեկման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մասնագիտական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53.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Դաստիարակը՝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կյանքի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համակողմանի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ինչպես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ստեղծագործական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երևակայության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մշտապես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ընտանիքի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խորհրդատվությունների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ժողովների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այցերի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54.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proofErr w:type="gramEnd"/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համատեղ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խորհրդատվություն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գեղագիտական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հարցերի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շուրջ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55.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Տնտեսական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վարիչը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տնտեսական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օգնականը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proofErr w:type="gramEnd"/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տնտեսական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անհրաժեշտ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մթերքի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սարքավորումների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մասնակցում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ճաշացուցակի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սննդամթերքի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պահանջագիր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հայտերի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կազմմանը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հետևում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տեղամասի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շենքի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սարքավորումների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վիճակին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ձեռնարկում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ժամանակին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վերանորոգելու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անձնակազմի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կատարողական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կարգապահության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6.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ԳՈՒՅՔԸ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ՖԻՆԱՆՍԱՏՆՏԵՍԱԿԱՆ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ԳՈՐԾՈՒՆԵՈՒԹՅՈՒՆԸ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56.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ժամանակ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հետագայում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ինչպես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ընթացքում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բերված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57.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որոշումներին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հայեցողությամբ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տիրապետելու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պատկանող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58.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պատկանող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չունի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իրավունքներ՝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լուծարումից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հետո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մնացած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59.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հոգսը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60.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տարածվել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բռնագանձում՝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61.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վերցնելու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62.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չունի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իրավունքներն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դնելու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անհատույց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63.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համարվող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շենքերը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օտարվել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բացառիկ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64.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h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աստատությունն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անունից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2020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թվականի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հունիսի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4-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N 914-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վճարներից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դրամական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ուղղվում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65.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նախարարությունը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անհատույց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տարածքների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վարձակալությունից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մուտքագրված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20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տոկոսը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տվյալ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բյուջետային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վերջում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պահուստային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ֆոնդից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որպես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գործառույթների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հատկացում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տրամադրում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փոխանցելու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66.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ավագանու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67.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վարձակալումից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եկամուտը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հանդիսանում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օգտագործվել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գործառույթների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68.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69.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70.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գոյանում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հատկացումներից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չարգելված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աղբյուրներից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71.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հաշվարկով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առանձնահատուկ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անհրաժեշտ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բարձրացված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չափաքանակը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72.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աղբյուրներն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ձեռնարկատիրական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իրականացումից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գոյացած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բարեգործական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նպատակային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ներդրումները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վարձավճարները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օտարերկրյա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քաղաքացիների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նվիրատվությունները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չարգելված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խնդիրներին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չհակասող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73.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հավաստիությունը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ենթակա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աուդիտի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վերստուգման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կարգով։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7.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ՎԵՐԱԿԱԶՄԱԿԵՐՊՈՒՄԸ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ԼՈՒԾԱՐՈՒՄԸ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74.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վերակազմակերպվում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5578" w:type="pct"/>
        <w:tblCellSpacing w:w="6" w:type="dxa"/>
        <w:tblInd w:w="-827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02"/>
        <w:gridCol w:w="6840"/>
      </w:tblGrid>
      <w:tr w:rsidR="005B77A1" w:rsidRPr="005B77A1" w:rsidTr="00BF6490">
        <w:trPr>
          <w:tblCellSpacing w:w="6" w:type="dxa"/>
        </w:trPr>
        <w:tc>
          <w:tcPr>
            <w:tcW w:w="3600" w:type="dxa"/>
            <w:shd w:val="clear" w:color="auto" w:fill="FFFFFF"/>
            <w:vAlign w:val="center"/>
            <w:hideMark/>
          </w:tcPr>
          <w:p w:rsidR="005B77A1" w:rsidRPr="005B77A1" w:rsidRDefault="005B77A1" w:rsidP="005B77A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5B77A1" w:rsidRPr="005B77A1" w:rsidRDefault="005B77A1" w:rsidP="005B77A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5B77A1" w:rsidRPr="005B77A1" w:rsidRDefault="005B77A1" w:rsidP="005B77A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  <w:p w:rsidR="005B77A1" w:rsidRPr="005B77A1" w:rsidRDefault="005B77A1" w:rsidP="005B77A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6854" w:type="dxa"/>
            <w:shd w:val="clear" w:color="auto" w:fill="FFFFFF"/>
            <w:vAlign w:val="bottom"/>
            <w:hideMark/>
          </w:tcPr>
          <w:p w:rsidR="005B77A1" w:rsidRPr="005B77A1" w:rsidRDefault="005B77A1" w:rsidP="005B77A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B77A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742"/>
        <w:gridCol w:w="3618"/>
      </w:tblGrid>
      <w:tr w:rsidR="005B77A1" w:rsidRPr="005B77A1" w:rsidTr="00BF6490">
        <w:trPr>
          <w:trHeight w:val="842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B77A1" w:rsidRPr="005B77A1" w:rsidRDefault="005B77A1" w:rsidP="005B77A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0" w:type="dxa"/>
            <w:shd w:val="clear" w:color="auto" w:fill="FFFFFF"/>
            <w:vAlign w:val="bottom"/>
            <w:hideMark/>
          </w:tcPr>
          <w:p w:rsidR="005B77A1" w:rsidRPr="005B77A1" w:rsidRDefault="005B77A1" w:rsidP="005B77A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</w:tbl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eastAsia="ru-RU"/>
        </w:rPr>
      </w:pPr>
    </w:p>
    <w:p w:rsidR="007372B4" w:rsidRPr="007372B4" w:rsidRDefault="007372B4" w:rsidP="007372B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sectPr w:rsidR="007372B4" w:rsidRPr="00737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4E5E"/>
    <w:multiLevelType w:val="hybridMultilevel"/>
    <w:tmpl w:val="CC92B806"/>
    <w:lvl w:ilvl="0" w:tplc="91060890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5E"/>
    <w:rsid w:val="002B3B4B"/>
    <w:rsid w:val="005B77A1"/>
    <w:rsid w:val="007372B4"/>
    <w:rsid w:val="008F0D5E"/>
    <w:rsid w:val="00E12717"/>
    <w:rsid w:val="00F2334B"/>
    <w:rsid w:val="00FF3859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4405"/>
  <w15:chartTrackingRefBased/>
  <w15:docId w15:val="{3FD65C82-A0E1-4FEC-847D-32802313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0D5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b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D5E"/>
    <w:rPr>
      <w:rFonts w:ascii="Arial Armenian" w:eastAsia="Times New Roman" w:hAnsi="Arial Armenian" w:cs="Times New Roman"/>
      <w:b/>
      <w:szCs w:val="20"/>
      <w:lang w:val="en-GB" w:eastAsia="ru-RU"/>
    </w:rPr>
  </w:style>
  <w:style w:type="numbering" w:customStyle="1" w:styleId="NoList1">
    <w:name w:val="No List1"/>
    <w:next w:val="a2"/>
    <w:uiPriority w:val="99"/>
    <w:semiHidden/>
    <w:unhideWhenUsed/>
    <w:rsid w:val="008F0D5E"/>
  </w:style>
  <w:style w:type="paragraph" w:customStyle="1" w:styleId="msonormal0">
    <w:name w:val="msonormal"/>
    <w:basedOn w:val="a"/>
    <w:uiPriority w:val="99"/>
    <w:rsid w:val="008F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8F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F0D5E"/>
    <w:pPr>
      <w:spacing w:after="200" w:line="276" w:lineRule="auto"/>
      <w:ind w:left="720"/>
      <w:contextualSpacing/>
    </w:pPr>
    <w:rPr>
      <w:lang w:val="ru-RU"/>
    </w:rPr>
  </w:style>
  <w:style w:type="character" w:styleId="a5">
    <w:name w:val="Strong"/>
    <w:basedOn w:val="a0"/>
    <w:uiPriority w:val="22"/>
    <w:qFormat/>
    <w:rsid w:val="008F0D5E"/>
    <w:rPr>
      <w:b/>
      <w:bCs/>
    </w:rPr>
  </w:style>
  <w:style w:type="character" w:styleId="a6">
    <w:name w:val="Emphasis"/>
    <w:basedOn w:val="a0"/>
    <w:uiPriority w:val="20"/>
    <w:qFormat/>
    <w:rsid w:val="008F0D5E"/>
    <w:rPr>
      <w:i/>
      <w:iCs/>
    </w:rPr>
  </w:style>
  <w:style w:type="numbering" w:customStyle="1" w:styleId="NoList2">
    <w:name w:val="No List2"/>
    <w:next w:val="a2"/>
    <w:uiPriority w:val="99"/>
    <w:semiHidden/>
    <w:unhideWhenUsed/>
    <w:rsid w:val="007372B4"/>
  </w:style>
  <w:style w:type="numbering" w:customStyle="1" w:styleId="NoList3">
    <w:name w:val="No List3"/>
    <w:next w:val="a2"/>
    <w:uiPriority w:val="99"/>
    <w:semiHidden/>
    <w:unhideWhenUsed/>
    <w:rsid w:val="007372B4"/>
  </w:style>
  <w:style w:type="numbering" w:customStyle="1" w:styleId="NoList4">
    <w:name w:val="No List4"/>
    <w:next w:val="a2"/>
    <w:uiPriority w:val="99"/>
    <w:semiHidden/>
    <w:unhideWhenUsed/>
    <w:rsid w:val="002B3B4B"/>
  </w:style>
  <w:style w:type="numbering" w:customStyle="1" w:styleId="NoList5">
    <w:name w:val="No List5"/>
    <w:next w:val="a2"/>
    <w:uiPriority w:val="99"/>
    <w:semiHidden/>
    <w:unhideWhenUsed/>
    <w:rsid w:val="005B7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3180</Words>
  <Characters>18131</Characters>
  <Application>Microsoft Office Word</Application>
  <DocSecurity>0</DocSecurity>
  <Lines>151</Lines>
  <Paragraphs>42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5) անգլերեն լրիվ` «KINDERGARTEN NAMED GARNIK KARAPETYAN » CNCO </vt:lpstr>
    </vt:vector>
  </TitlesOfParts>
  <Company/>
  <LinksUpToDate>false</LinksUpToDate>
  <CharactersWithSpaces>21269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</cp:revision>
  <dcterms:created xsi:type="dcterms:W3CDTF">2023-09-06T14:29:00Z</dcterms:created>
  <dcterms:modified xsi:type="dcterms:W3CDTF">2023-09-06T14:29:00Z</dcterms:modified>
</cp:coreProperties>
</file>