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նախագիծ</w:t>
      </w:r>
    </w:p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ՀԱՎԵԼՎԱԾ </w:t>
      </w:r>
      <w:r>
        <w:rPr>
          <w:rFonts w:ascii="GHEA Grapalat" w:hAnsi="GHEA Grapalat" w:cs="Sylfaen"/>
          <w:b/>
          <w:bCs/>
          <w:lang w:val="hy-AM"/>
        </w:rPr>
        <w:t>1</w:t>
      </w:r>
    </w:p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814160" w:rsidRDefault="00814160" w:rsidP="00814160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174800" w:rsidRPr="0012656E" w:rsidRDefault="00814160" w:rsidP="00814160">
      <w:pPr>
        <w:pStyle w:val="a3"/>
        <w:ind w:left="-1440"/>
        <w:jc w:val="right"/>
        <w:rPr>
          <w:rStyle w:val="a4"/>
          <w:szCs w:val="27"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-</w:t>
      </w:r>
      <w:r>
        <w:rPr>
          <w:rFonts w:cs="Arial LatArm"/>
          <w:b/>
          <w:bCs/>
          <w:lang w:val="hy-AM"/>
        </w:rPr>
        <w:t xml:space="preserve">Ա </w:t>
      </w:r>
      <w:r>
        <w:rPr>
          <w:rFonts w:cs="Arial LatArm"/>
          <w:b/>
          <w:bCs/>
          <w:lang w:val="hy-AM"/>
        </w:rPr>
        <w:t xml:space="preserve"> </w:t>
      </w:r>
      <w:r>
        <w:rPr>
          <w:rFonts w:cs="Sylfaen"/>
          <w:b/>
          <w:bCs/>
          <w:lang w:val="hy-AM"/>
        </w:rPr>
        <w:t>ՈՐՈՇՄԱՆ</w:t>
      </w:r>
    </w:p>
    <w:p w:rsidR="00174800" w:rsidRPr="0012656E" w:rsidRDefault="00814160" w:rsidP="00174800">
      <w:pPr>
        <w:pStyle w:val="a3"/>
        <w:ind w:left="-732" w:firstLine="732"/>
        <w:jc w:val="center"/>
        <w:rPr>
          <w:rStyle w:val="a4"/>
          <w:szCs w:val="27"/>
          <w:lang w:val="hy-AM"/>
        </w:rPr>
      </w:pPr>
      <w:r>
        <w:rPr>
          <w:rStyle w:val="a4"/>
          <w:szCs w:val="27"/>
          <w:lang w:val="hy-AM"/>
        </w:rPr>
        <w:t xml:space="preserve">ՀԱՅԱՍՏԱՆԻ ՀԱՆՐԱՊԵՏՈՒԹՅԱՆ ԱՐՄԱՎԻՐԻ ՄԱՐԶԻ </w:t>
      </w:r>
      <w:bookmarkStart w:id="0" w:name="_GoBack"/>
      <w:bookmarkEnd w:id="0"/>
      <w:r w:rsidR="00174800">
        <w:rPr>
          <w:rStyle w:val="a4"/>
          <w:szCs w:val="27"/>
          <w:lang w:val="hy-AM"/>
        </w:rPr>
        <w:t>ԽՈՅ</w:t>
      </w:r>
      <w:r w:rsidR="00174800" w:rsidRPr="0012656E">
        <w:rPr>
          <w:rStyle w:val="a4"/>
          <w:szCs w:val="27"/>
          <w:lang w:val="hy-AM"/>
        </w:rPr>
        <w:t xml:space="preserve"> ՀԱՄԱՅՆՔԻ ԱՂԲԱՀԱՆՈՒԹՅԱՆ ԻՐԱԿԱՆԱՑՄԱՆ ԿԱՐԳԸ</w:t>
      </w:r>
    </w:p>
    <w:p w:rsidR="00174800" w:rsidRPr="0012656E" w:rsidRDefault="00174800" w:rsidP="00174800">
      <w:pPr>
        <w:spacing w:line="242" w:lineRule="atLeast"/>
        <w:ind w:right="2"/>
        <w:jc w:val="center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hAnsi="GHEA Grapalat"/>
          <w:b/>
          <w:i/>
          <w:szCs w:val="20"/>
          <w:lang w:val="hy-AM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1.</w:t>
      </w:r>
      <w:r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ԸՆԴՀԱՆՈՒՐ ԴՐՈՒՅԹՆԵՐ</w:t>
      </w:r>
    </w:p>
    <w:p w:rsidR="00174800" w:rsidRPr="0012656E" w:rsidRDefault="00174800" w:rsidP="00174800">
      <w:pPr>
        <w:spacing w:after="0"/>
        <w:ind w:right="2"/>
        <w:jc w:val="right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Սույն կարգով կարգավորվում են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ՀՀ Արմավիրի մարզի </w:t>
      </w:r>
      <w:r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Խոյ</w:t>
      </w:r>
      <w:r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համայնքի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վարչական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տարածքում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աղբահանության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աշխատանքների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իրականացման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հետ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կապված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հարաբերությունները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2.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Սույն կարգի գործողությունը տարածվում է համայնքի վարչական տարածքում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անշարժ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գույքի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այդ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թվում՝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բնակելի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շինության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սեփականատեր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համարվող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որևէ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այլ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իրավունքով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այդ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գույքը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տիրապետող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օգտագործող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ֆիզիկական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անձանց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(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ներառյալ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անհատ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ձեռնարկատեր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և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արտոնագրային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ճար վճարող)</w:t>
      </w:r>
      <w:r w:rsidRPr="0012656E">
        <w:rPr>
          <w:rFonts w:ascii="GHEA Grapalat" w:eastAsia="Times New Roman" w:hAnsi="GHEA Grapalat" w:cs="Courier New"/>
          <w:color w:val="000000"/>
          <w:sz w:val="24"/>
          <w:lang w:val="hy-AM" w:eastAsia="en-US"/>
        </w:rPr>
        <w:t>,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իրավաբանական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անձանց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հիմնարկների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պետական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և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տեղական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ինքնակառավարման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մարմինների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իսկ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պետական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համայնքային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սեփականություն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համարվող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անշարժ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գույքը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վարձակալության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</w:t>
      </w:r>
      <w:r w:rsidRPr="0012656E">
        <w:rPr>
          <w:rFonts w:ascii="GHEA Grapalat" w:eastAsia="Times New Roman" w:hAnsi="GHEA Grapalat" w:cs="GHEA Mariam"/>
          <w:color w:val="000000"/>
          <w:sz w:val="24"/>
          <w:lang w:val="hy-AM" w:eastAsia="en-US"/>
        </w:rPr>
        <w:t>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անհատույց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օգտագործման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իրավունքով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քաղաքացու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իրավաբանական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անձի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կողմից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տիրապետման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դեպքում՝ վարձակալի, անհատույց օգտագործողի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վրա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3.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Աղբահանությունը և սանիտարական մաքրումը պարտադիր և պարբերաբար իրականացվող աշխատանքներ են` օրենսդրությամբ սահմանված սանիտարահիգիենիկ կանոնների և նորմերի պահանջների պահպանմամբ: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4.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Աղբահանությունը վճարովի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ծառայություն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է: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5.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Շինարարական և խոշոր եզրաչափի աղբ առաջացնողները ազատվում են աղբահանության վճարից, եթե նշված աղբը փոխադրվում և տեղադրվում է սեփական միջոցներով`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համապատասխան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թույլտվության հիման վրա կամ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համապատասխան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անձանց հետ օրենսդրությամբ սահմանված կարգով կնքված պայմանագրի հիման վրա: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6.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Համայնքի ավագանին կարող է սահմանել աղբահանության վճարի արտոնություններ առանձին կատեգորիայի անձանց համար: Համայնքի ավագանու կողմից անհատական արտոնություններ սահմանելն արգելվում է: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7.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Աղբահանության և սանիտարական մաքրման հիմնական նպատակները և գործընթացի կազմակերպման սկզբունքներն են`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</w:pPr>
    </w:p>
    <w:p w:rsidR="00174800" w:rsidRPr="0012656E" w:rsidRDefault="00174800" w:rsidP="00174800">
      <w:pPr>
        <w:pStyle w:val="a5"/>
        <w:numPr>
          <w:ilvl w:val="0"/>
          <w:numId w:val="1"/>
        </w:num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մարդու առողջության և շրջակա միջավայրի վրա աղբի բացասական (վտանգավոր) ներգործության նվազեցումը և չեզոքացումը. </w:t>
      </w:r>
    </w:p>
    <w:p w:rsidR="00174800" w:rsidRPr="0012656E" w:rsidRDefault="00174800" w:rsidP="00174800">
      <w:pPr>
        <w:pStyle w:val="a5"/>
        <w:numPr>
          <w:ilvl w:val="0"/>
          <w:numId w:val="1"/>
        </w:num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բնակչության համար հարմարավետ և էկոլոգիապես անվտանգ պայմանների ապահովումը.</w:t>
      </w:r>
    </w:p>
    <w:p w:rsidR="00174800" w:rsidRPr="0012656E" w:rsidRDefault="00174800" w:rsidP="00174800">
      <w:pPr>
        <w:pStyle w:val="a5"/>
        <w:numPr>
          <w:ilvl w:val="0"/>
          <w:numId w:val="1"/>
        </w:num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տարածքների աղտոտման, աղբակույտերի առաջացման անթույլատրելիությունը և տարածքների մաքրումը աղբից</w:t>
      </w:r>
      <w:r w:rsidRPr="0012656E">
        <w:rPr>
          <w:rFonts w:ascii="MS Mincho" w:eastAsia="MS Mincho" w:hAnsi="MS Mincho" w:cs="MS Mincho" w:hint="eastAsia"/>
          <w:color w:val="000000"/>
          <w:sz w:val="24"/>
          <w:lang w:val="hy-AM" w:eastAsia="en-US"/>
        </w:rPr>
        <w:t>․</w:t>
      </w:r>
    </w:p>
    <w:p w:rsidR="00174800" w:rsidRPr="0012656E" w:rsidRDefault="00174800" w:rsidP="00174800">
      <w:pPr>
        <w:pStyle w:val="a5"/>
        <w:numPr>
          <w:ilvl w:val="0"/>
          <w:numId w:val="1"/>
        </w:num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աղբահանության և սանիտարական մաքրման վերաբերյալ տեղեկատվության մատչելիության և հանրային իրազեկվածության ապահովումը տեղական ինքնակառավարման մարմինների կողմի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ց։</w:t>
      </w:r>
    </w:p>
    <w:p w:rsidR="00174800" w:rsidRPr="0012656E" w:rsidRDefault="00174800" w:rsidP="00174800">
      <w:pPr>
        <w:pStyle w:val="a5"/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</w:pPr>
    </w:p>
    <w:p w:rsidR="00174800" w:rsidRPr="0012656E" w:rsidRDefault="00174800" w:rsidP="00174800">
      <w:pPr>
        <w:spacing w:after="0"/>
        <w:ind w:right="2"/>
        <w:jc w:val="center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2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. ԱՂԲԻ ՀԱՎԱՔՄԱՆ, ՊԱՀՄԱՆ, ԱՂԲԱՄԱՆՆԵՐԻ ՏԵՂԱԴՐՄԱՆ ՎԱՅՐԵՐԸ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</w:p>
    <w:p w:rsidR="00174800" w:rsidRPr="009E04FC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szCs w:val="21"/>
          <w:lang w:val="hy-AM" w:eastAsia="en-US"/>
        </w:rPr>
      </w:pPr>
      <w:r w:rsidRPr="009E04FC">
        <w:rPr>
          <w:rFonts w:ascii="GHEA Grapalat" w:eastAsia="Times New Roman" w:hAnsi="GHEA Grapalat" w:cs="Times New Roman"/>
          <w:sz w:val="24"/>
          <w:lang w:val="pt-BR" w:eastAsia="en-US"/>
        </w:rPr>
        <w:t>8.</w:t>
      </w:r>
      <w:r w:rsidRPr="009E04FC">
        <w:rPr>
          <w:rFonts w:ascii="Courier New" w:eastAsia="Times New Roman" w:hAnsi="Courier New" w:cs="Courier New"/>
          <w:sz w:val="16"/>
          <w:szCs w:val="14"/>
          <w:lang w:val="pt-BR" w:eastAsia="en-US"/>
        </w:rPr>
        <w:t>   </w:t>
      </w:r>
      <w:r w:rsidRPr="009E04FC">
        <w:rPr>
          <w:rFonts w:ascii="GHEA Grapalat" w:eastAsia="Times New Roman" w:hAnsi="GHEA Grapalat" w:cs="Times New Roman"/>
          <w:sz w:val="24"/>
          <w:lang w:val="pt-BR" w:eastAsia="en-US"/>
        </w:rPr>
        <w:t>Կենցաղային աղբը հավաքվում և (կամ) պահվում է համայնքի ընդհանուր օգտագործման տարածքների` այդ նպատակով հատուկ սահմանված կամ նախատեսված տեղերում և համայնքի կամ օպերատորի տրամադրած տարողություններում` աղբամաններում կամ կոնտեյներներում, աղբախցերում` սահմանված սանիտարահիգիենիկ կանոնների և նորմերի պահանջների պահպանմամբ: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9.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 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Աղբամանները տեղադրվում են բնակելի և հասարակական շենքերից </w:t>
      </w:r>
      <w:r w:rsidRPr="0012656E">
        <w:rPr>
          <w:rFonts w:ascii="GHEA Grapalat" w:eastAsia="Times New Roman" w:hAnsi="GHEA Grapalat" w:cs="Times New Roman"/>
          <w:sz w:val="24"/>
          <w:lang w:val="hy-AM" w:eastAsia="en-US"/>
        </w:rPr>
        <w:t xml:space="preserve">ու շինություններից 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>ոչ պակաս, քան 15մ և ոչ ավելի, քան 100մ հեռավորության վրա: Պուրակներում, զբոսայգիներում</w:t>
      </w:r>
      <w:r w:rsidRPr="0012656E">
        <w:rPr>
          <w:rFonts w:ascii="Courier New" w:eastAsia="Times New Roman" w:hAnsi="Courier New" w:cs="Courier New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աղբամանները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տեղադրվում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են</w:t>
      </w:r>
      <w:r w:rsidRPr="0012656E">
        <w:rPr>
          <w:rFonts w:ascii="Courier New" w:eastAsia="Times New Roman" w:hAnsi="Courier New" w:cs="Courier New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մարդկանց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զանգվածային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կուտակման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վայրերից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ոչ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պակաս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քան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50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մ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հեռավորության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sz w:val="24"/>
          <w:lang w:val="pt-BR" w:eastAsia="en-US"/>
        </w:rPr>
        <w:t>վրա</w:t>
      </w:r>
      <w:r w:rsidRPr="0012656E">
        <w:rPr>
          <w:rFonts w:ascii="GHEA Grapalat" w:eastAsia="Times New Roman" w:hAnsi="GHEA Grapalat" w:cs="Times New Roman"/>
          <w:sz w:val="24"/>
          <w:lang w:val="pt-BR" w:eastAsia="en-US"/>
        </w:rPr>
        <w:t>: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Courier New"/>
          <w:color w:val="000000"/>
          <w:sz w:val="24"/>
          <w:lang w:val="hy-AM" w:eastAsia="en-US"/>
        </w:rPr>
        <w:t xml:space="preserve"> 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11.</w:t>
      </w:r>
      <w:r w:rsidRPr="0012656E">
        <w:rPr>
          <w:rFonts w:ascii="Courier New" w:eastAsia="Times New Roman" w:hAnsi="Courier New" w:cs="Courier New"/>
          <w:color w:val="000000"/>
          <w:sz w:val="16"/>
          <w:szCs w:val="14"/>
          <w:lang w:val="pt-BR" w:eastAsia="en-US"/>
        </w:rPr>
        <w:t>  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Աղբամանները տեղադրվում են բնակելի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(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առկայության դեպքում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) և հասարակական շենքերի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ու շինությունների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բակային կամ միջբակային տարածքներում՝ փոխադրամիջոցների մոտեցման համար հարմար դիրքով: Աղբամանները չեն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տեղադրվում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փողոցների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մայթ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երի և սիզամարգերի վրա: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12.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Ա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ղբը պետք է փոխադրվի մինչև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աղբամանների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ամբողջությամբ լցվելը: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13.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Աղբահանությունը իրականացնում են մասնագիտացված և (կամ) օրենքով չարգելված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այլ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կազմակերպություններ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14.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Կոնտեյներներից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կամ աղբամաններից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աղբը հեռացնելու ժամանակ աղբահանությունն իրականացնող կազմակերպության կողմից մաքրվում և տեղափոխվում է կոնտեյներների հարակից տարածքի աղբը: Աղբահանության ժամանակ տեղափոխվում են նաև աղբակույտերը և տերևակույտերը: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15.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Աղբատար փոխադրամիջոցների թափքերը ախտահանվում են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աղբաթափման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վայրում՝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աղբահանությունն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իրականացնող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կազմակերպության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կողմից՝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ախտահանիչ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լուծույթներով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lastRenderedPageBreak/>
        <w:t>1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6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Աղբամանները տեղադրվում են ավտոկանգառների, հասարակական տրանսպորտի կանգառների, առևտուր իրականացնող օբյեկտների մուտքերի մոտ, զբոսայգիներում, պուրակներում, շուկաներում և այլն: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7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Կրպակներում առևտուր իրականացնող սուբյեկտները իրենց հարակից տարածքները պահում են պատշաճ սանիտարական վիճակում: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Cs w:val="21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1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>8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.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Բնակելի շենքերի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hy-AM" w:eastAsia="en-US"/>
        </w:rPr>
        <w:t xml:space="preserve"> (առկայության դեպքում)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առաջին հարկերում տեղակայված առևտրի և սպասարկման օբյեկտների մուտքերի հարակից տարածքները պահվում են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պատշաճ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սանիտարական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վիճակում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չեն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կուտակում</w:t>
      </w: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 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ապրանքների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արկղեր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կամ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ավելորդ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իրեր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,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սպառման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թափոններ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և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շինարարական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 xml:space="preserve"> </w:t>
      </w:r>
      <w:r w:rsidRPr="0012656E">
        <w:rPr>
          <w:rFonts w:ascii="GHEA Grapalat" w:eastAsia="Times New Roman" w:hAnsi="GHEA Grapalat" w:cs="GHEA Mariam"/>
          <w:color w:val="000000"/>
          <w:sz w:val="24"/>
          <w:lang w:val="pt-BR" w:eastAsia="en-US"/>
        </w:rPr>
        <w:t>աշխատանք</w:t>
      </w:r>
      <w:r w:rsidRPr="0012656E">
        <w:rPr>
          <w:rFonts w:ascii="GHEA Grapalat" w:eastAsia="Times New Roman" w:hAnsi="GHEA Grapalat" w:cs="Times New Roman"/>
          <w:color w:val="000000"/>
          <w:sz w:val="24"/>
          <w:lang w:val="pt-BR" w:eastAsia="en-US"/>
        </w:rPr>
        <w:t>ների ընթացքում առաջացող թափոններ: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</w:t>
      </w:r>
      <w:r w:rsidRPr="0012656E">
        <w:rPr>
          <w:rFonts w:ascii="MS Mincho" w:eastAsia="MS Mincho" w:hAnsi="MS Mincho" w:cs="MS Mincho" w:hint="eastAsia"/>
          <w:color w:val="000000"/>
          <w:sz w:val="24"/>
          <w:szCs w:val="24"/>
          <w:lang w:val="hy-AM" w:eastAsia="en-US"/>
        </w:rPr>
        <w:t>․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Չի թույլատրվում՝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1)</w:t>
      </w:r>
      <w:r w:rsidRPr="0012656E">
        <w:rPr>
          <w:rFonts w:ascii="Courier New" w:eastAsia="Times New Roman" w:hAnsi="Courier New" w:cs="Courier New"/>
          <w:color w:val="000000"/>
          <w:sz w:val="24"/>
          <w:szCs w:val="24"/>
          <w:lang w:val="pt-BR" w:eastAsia="en-US"/>
        </w:rPr>
        <w:t>  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աղբը պահել և թափել դրա համար չսահմանված կամ չնախատեսված վայրերում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2)</w:t>
      </w:r>
      <w:r w:rsidRPr="0012656E">
        <w:rPr>
          <w:rFonts w:ascii="Courier New" w:eastAsia="Times New Roman" w:hAnsi="Courier New" w:cs="Courier New"/>
          <w:color w:val="000000"/>
          <w:sz w:val="24"/>
          <w:szCs w:val="24"/>
          <w:lang w:val="pt-BR" w:eastAsia="en-US"/>
        </w:rPr>
        <w:t>  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սպառման թափոնների այրումը,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խոշոր եզրաչափի աղբ (երկու և ավելի քառակուսի մետր զբաղեցնող խոշոր կենցաղային և ոչ կենցաղային սարքավորումներ, այդ թվում՝ տրանսպորտային միջոցի հենասարք, թափք, մետաղական ջարդոն, էլեկտրատեխնիկական սարքավորումներ կամ այլ նմանատիպ իրեր) թափելը,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3)</w:t>
      </w:r>
      <w:r w:rsidRPr="0012656E">
        <w:rPr>
          <w:rFonts w:ascii="Courier New" w:eastAsia="Times New Roman" w:hAnsi="Courier New" w:cs="Courier New"/>
          <w:color w:val="000000"/>
          <w:sz w:val="24"/>
          <w:szCs w:val="24"/>
          <w:lang w:val="pt-BR" w:eastAsia="en-US"/>
        </w:rPr>
        <w:t>  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մարտկոցներ, էլեկտրական կուտակիչներ, էլեկտրալամպեր, էլեկտրոնային ապրանքներ, գրաֆիտային էլեկտրոդներ թափելը,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4) 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կենսաբանական թափոններ (կենդանական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թափոններ) թափելը,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 xml:space="preserve">5) 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շինարարական աղբ թափելը,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6)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անվադողեր թափելը (բացառությամբ հեծանվի դողի),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 xml:space="preserve">) 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տրանսպորտային միջոցից աղբ նետելը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,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)</w:t>
      </w:r>
      <w:r w:rsidRPr="0012656E">
        <w:rPr>
          <w:rFonts w:ascii="GHEA Grapalat" w:eastAsia="Times New Roman" w:hAnsi="GHEA Grapalat" w:cs="Courier New"/>
          <w:color w:val="000000"/>
          <w:sz w:val="24"/>
          <w:szCs w:val="24"/>
          <w:lang w:val="hy-AM" w:eastAsia="en-US"/>
        </w:rPr>
        <w:t xml:space="preserve"> </w:t>
      </w:r>
      <w:r w:rsidRPr="0012656E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US"/>
        </w:rPr>
        <w:t>աղբի համար նախատեսված վայրում տեղադրել սատկած կենդանու մարմին: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  <w:r w:rsidRPr="0012656E">
        <w:rPr>
          <w:rFonts w:ascii="Courier New" w:eastAsia="Times New Roman" w:hAnsi="Courier New" w:cs="Courier New"/>
          <w:color w:val="000000"/>
          <w:sz w:val="24"/>
          <w:lang w:val="pt-BR" w:eastAsia="en-US"/>
        </w:rPr>
        <w:t> </w:t>
      </w: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</w:p>
    <w:p w:rsidR="00174800" w:rsidRPr="0012656E" w:rsidRDefault="00174800" w:rsidP="00174800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</w:p>
    <w:p w:rsidR="00174800" w:rsidRPr="0012656E" w:rsidRDefault="00E27AD5" w:rsidP="00E27AD5">
      <w:pPr>
        <w:spacing w:after="0"/>
        <w:ind w:right="2"/>
        <w:jc w:val="center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  <w:r>
        <w:rPr>
          <w:rFonts w:ascii="GHEA Grapalat" w:eastAsia="Times New Roman" w:hAnsi="GHEA Grapalat" w:cs="Courier New"/>
          <w:color w:val="000000"/>
          <w:sz w:val="24"/>
          <w:lang w:val="hy-AM" w:eastAsia="en-US"/>
        </w:rPr>
        <w:t>ԱՇԽԱՏԱԿԱԶՄԻ ՔԱՐՏՈՒՂԱՐ՝                                               Ա․ ԱՌԱՔԵԼՅԱՆ</w:t>
      </w:r>
    </w:p>
    <w:p w:rsidR="00EF3384" w:rsidRPr="00174800" w:rsidRDefault="00EF3384">
      <w:pPr>
        <w:rPr>
          <w:lang w:val="hy-AM"/>
        </w:rPr>
      </w:pPr>
    </w:p>
    <w:sectPr w:rsidR="00EF3384" w:rsidRPr="00174800" w:rsidSect="00174800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A7F17"/>
    <w:multiLevelType w:val="hybridMultilevel"/>
    <w:tmpl w:val="4DE6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00"/>
    <w:rsid w:val="001222AA"/>
    <w:rsid w:val="00174800"/>
    <w:rsid w:val="0018336A"/>
    <w:rsid w:val="002061D9"/>
    <w:rsid w:val="002E01A7"/>
    <w:rsid w:val="0030109A"/>
    <w:rsid w:val="00323371"/>
    <w:rsid w:val="0033778B"/>
    <w:rsid w:val="004E3190"/>
    <w:rsid w:val="005B188C"/>
    <w:rsid w:val="006C70FE"/>
    <w:rsid w:val="006D47CA"/>
    <w:rsid w:val="007B19F3"/>
    <w:rsid w:val="00814160"/>
    <w:rsid w:val="0083255E"/>
    <w:rsid w:val="00852AE8"/>
    <w:rsid w:val="008933AC"/>
    <w:rsid w:val="00994B28"/>
    <w:rsid w:val="00BD3EC3"/>
    <w:rsid w:val="00C841C4"/>
    <w:rsid w:val="00C97F14"/>
    <w:rsid w:val="00CE6C6B"/>
    <w:rsid w:val="00CF508A"/>
    <w:rsid w:val="00D63327"/>
    <w:rsid w:val="00D74B35"/>
    <w:rsid w:val="00E27AD5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049D"/>
  <w15:chartTrackingRefBased/>
  <w15:docId w15:val="{651A238B-8539-4238-8F3D-E0D0D1F4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8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480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qFormat/>
    <w:rsid w:val="00174800"/>
    <w:rPr>
      <w:b/>
      <w:bCs/>
    </w:rPr>
  </w:style>
  <w:style w:type="paragraph" w:styleId="a5">
    <w:name w:val="List Paragraph"/>
    <w:basedOn w:val="a"/>
    <w:uiPriority w:val="34"/>
    <w:qFormat/>
    <w:rsid w:val="0017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</cp:revision>
  <cp:lastPrinted>2023-12-13T17:07:00Z</cp:lastPrinted>
  <dcterms:created xsi:type="dcterms:W3CDTF">2023-12-13T11:30:00Z</dcterms:created>
  <dcterms:modified xsi:type="dcterms:W3CDTF">2023-12-13T17:07:00Z</dcterms:modified>
</cp:coreProperties>
</file>