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0C" w:rsidRDefault="00C1460C" w:rsidP="005B7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1460C" w:rsidRDefault="00C1460C" w:rsidP="005B7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1460C" w:rsidRDefault="00C1460C" w:rsidP="00C1460C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ab/>
      </w:r>
      <w:r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C1460C" w:rsidRDefault="00C1460C" w:rsidP="00C1460C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 xml:space="preserve">                                                     </w:t>
      </w:r>
      <w:r>
        <w:rPr>
          <w:rFonts w:ascii="GHEA Grapalat" w:eastAsia="Times New Roman" w:hAnsi="GHEA Grapalat" w:cs="Sylfaen"/>
          <w:b/>
          <w:i/>
        </w:rPr>
        <w:t xml:space="preserve">                          </w:t>
      </w:r>
      <w:r>
        <w:rPr>
          <w:rFonts w:ascii="GHEA Grapalat" w:eastAsia="Times New Roman" w:hAnsi="GHEA Grapalat" w:cs="Sylfaen"/>
          <w:b/>
          <w:i/>
        </w:rPr>
        <w:t xml:space="preserve"> </w:t>
      </w:r>
      <w:proofErr w:type="gramStart"/>
      <w:r>
        <w:rPr>
          <w:rFonts w:ascii="GHEA Grapalat" w:eastAsia="Times New Roman" w:hAnsi="GHEA Grapalat" w:cs="Sylfaen"/>
          <w:b/>
          <w:i/>
        </w:rPr>
        <w:t>ՀԱՅԱՍՏԱՆԻ  ՀԱՆՐԱՊԵՏՈՒԹՅԱՆ</w:t>
      </w:r>
      <w:proofErr w:type="gramEnd"/>
    </w:p>
    <w:p w:rsidR="00C1460C" w:rsidRDefault="00C1460C" w:rsidP="00C1460C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proofErr w:type="gramStart"/>
      <w:r>
        <w:rPr>
          <w:rFonts w:ascii="GHEA Grapalat" w:eastAsia="Times New Roman" w:hAnsi="GHEA Grapalat" w:cs="Sylfaen"/>
          <w:b/>
          <w:i/>
        </w:rPr>
        <w:t>ԱՐՄԱՎԻՐԻ  ՄԱՐԶԻ</w:t>
      </w:r>
      <w:proofErr w:type="gramEnd"/>
      <w:r>
        <w:rPr>
          <w:rFonts w:ascii="GHEA Grapalat" w:eastAsia="Times New Roman" w:hAnsi="GHEA Grapalat" w:cs="Sylfaen"/>
          <w:b/>
          <w:i/>
        </w:rPr>
        <w:t xml:space="preserve">  ԽՈՅ </w:t>
      </w:r>
    </w:p>
    <w:p w:rsidR="00C1460C" w:rsidRDefault="00C1460C" w:rsidP="00C1460C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</w:r>
      <w:proofErr w:type="gramStart"/>
      <w:r>
        <w:rPr>
          <w:rFonts w:ascii="GHEA Grapalat" w:eastAsia="Times New Roman" w:hAnsi="GHEA Grapalat" w:cs="Sylfaen"/>
          <w:b/>
          <w:i/>
        </w:rPr>
        <w:t>ՀԱՄԱՅՆՔԻ  ԱՎԱԳԱՆՈՒ</w:t>
      </w:r>
      <w:proofErr w:type="gramEnd"/>
    </w:p>
    <w:p w:rsidR="00C1460C" w:rsidRDefault="00C1460C" w:rsidP="00C1460C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</w:t>
      </w:r>
      <w:r>
        <w:rPr>
          <w:rFonts w:ascii="GHEA Grapalat" w:eastAsia="Times New Roman" w:hAnsi="GHEA Grapalat" w:cs="Sylfaen"/>
          <w:b/>
          <w:i/>
        </w:rPr>
        <w:t xml:space="preserve">2023 ԹՎԱԿԱՆԻ </w:t>
      </w:r>
      <w:r>
        <w:rPr>
          <w:rFonts w:ascii="GHEA Grapalat" w:eastAsia="Times New Roman" w:hAnsi="GHEA Grapalat" w:cs="Sylfaen"/>
          <w:b/>
          <w:i/>
          <w:color w:val="000000"/>
        </w:rPr>
        <w:t>ՍԵՊՏԵՄԲԵՐԻ 12-Ի</w:t>
      </w:r>
    </w:p>
    <w:p w:rsidR="00C1460C" w:rsidRDefault="00C1460C" w:rsidP="00C1460C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proofErr w:type="gramStart"/>
      <w:r>
        <w:rPr>
          <w:rFonts w:ascii="GHEA Grapalat" w:eastAsia="Times New Roman" w:hAnsi="GHEA Grapalat" w:cs="Tahoma"/>
          <w:b/>
          <w:i/>
        </w:rPr>
        <w:t>ԹԻՎ  97</w:t>
      </w:r>
      <w:proofErr w:type="gramEnd"/>
      <w:r>
        <w:rPr>
          <w:rFonts w:ascii="GHEA Grapalat" w:eastAsia="Times New Roman" w:hAnsi="GHEA Grapalat" w:cs="Tahoma"/>
          <w:b/>
          <w:i/>
        </w:rPr>
        <w:t>-</w:t>
      </w:r>
      <w:r>
        <w:rPr>
          <w:rFonts w:ascii="GHEA Grapalat" w:eastAsia="Times New Roman" w:hAnsi="GHEA Grapalat" w:cs="Tahoma"/>
          <w:b/>
          <w:i/>
          <w:lang w:val="hy-AM"/>
        </w:rPr>
        <w:t>Ա</w:t>
      </w:r>
      <w:r>
        <w:rPr>
          <w:rFonts w:ascii="GHEA Grapalat" w:eastAsia="Times New Roman" w:hAnsi="GHEA Grapalat" w:cs="Tahoma"/>
          <w:b/>
          <w:i/>
        </w:rPr>
        <w:t xml:space="preserve">  ՈՐՈՇՄԱՆ</w:t>
      </w:r>
      <w:r>
        <w:rPr>
          <w:rFonts w:ascii="GHEA Grapalat" w:eastAsia="Times New Roman" w:hAnsi="GHEA Grapalat" w:cs="Sylfaen"/>
        </w:rPr>
        <w:t xml:space="preserve">  </w:t>
      </w:r>
    </w:p>
    <w:p w:rsidR="00C1460C" w:rsidRDefault="00C1460C" w:rsidP="00C1460C">
      <w:pPr>
        <w:shd w:val="clear" w:color="auto" w:fill="FFFFFF"/>
        <w:tabs>
          <w:tab w:val="left" w:pos="6384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1460C" w:rsidRDefault="00C1460C" w:rsidP="005B7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1460C" w:rsidRDefault="00C1460C" w:rsidP="005B7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C1460C" w:rsidRDefault="00C1460C" w:rsidP="005B7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5B77A1" w:rsidRPr="005B77A1" w:rsidRDefault="007372B4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7372B4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                           Կ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Ա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Դ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Ր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Թ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Յ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ՈՒ</w:t>
      </w:r>
      <w:r w:rsidR="005B77A1"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="005B77A1"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Ն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</w:pP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ՀԱՅԱՍՏԱՆԻ  ՀԱՆՐԱՊԵՏՈՒԹՅԱՆ ԱՐՄԱՎԻՐԻ</w:t>
      </w:r>
      <w:r w:rsidR="00E12717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ՄԱՐԶԻ ԽՈՅ  </w:t>
      </w: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 ՀԱՄԱՅՆՔԻ  ԱՐԱԳԱԾ  ԳՅՈՒՂԻ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>« ԱՐԱԳԱԾԻ  ՄԱՆԿԱՊԱՐՏԵԶ »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32"/>
          <w:szCs w:val="21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val="hy-AM" w:eastAsia="ru-RU"/>
        </w:rPr>
        <w:t xml:space="preserve"> ՀԱՄԱՅՆՔԱՅԻՆ ՈՉ ԱՌԵՎՏՐԱՅԻՆ ԿԱԶՄԱԿԵՐՊՈՒԹՅԱՆ</w:t>
      </w: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32"/>
          <w:szCs w:val="21"/>
          <w:lang w:val="hy-AM"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                      1. ԸՆԴՀԱՆՈՒՐ ԴՐՈՒՅԹՆԵՐ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1. Հայաստանի Հանրապետության </w:t>
      </w:r>
      <w:r w:rsidR="00E12717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Արմավիրի մարզի Արագած գյուղի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«Արագածի մանկապարտեզ» ՀՈԱԿ-ը իրավաբանական անձի կարգավիճակ ունեցող նախադպրոցական ուսումնական հաստատություն է (այսուհետ՝ հաստատություն), որը շահույթ չհետապնդող հաստատություն է,որը  համապատասխան լիցենզիայի հիման վրա իրականացնում է նախադպրոցական կրթական  տեսակի ծրագրեր: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Հաստատությունը ստեղծվել է 2011 թ-ի հունիսի  01-ի, Արագած  համայնքի ղեկավարի 2011թվականի հունիսի 01-ի N 5 նիստի թիվ 2 որոշմամբ: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3. Հաստատության գտնվելու վայրն է՝ Հայաստանի Հանրապետություն,  Խոյ համայնք, Արագած գյուղ, Հաղթանակի  պողոտա, 28 շենք: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lastRenderedPageBreak/>
        <w:t>5. Հաստատության անվանումն է`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1) հայերեն լրիվ` « Արագածի  մանկապարտեզ» ՀՈԱԿ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2) հայերեն կրճատ՝« Արագածի  մանկապարտեզ» ՀՈԱԿ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3) ռուսերեն լրիվ` «</w:t>
      </w:r>
      <w:r w:rsidRPr="005B77A1">
        <w:rPr>
          <w:rFonts w:ascii="GHEA Grapalat" w:hAnsi="GHEA Grapalat" w:cs="Arial"/>
          <w:sz w:val="18"/>
          <w:szCs w:val="18"/>
          <w:lang w:val="hy-AM"/>
        </w:rPr>
        <w:t xml:space="preserve">АРАГАЦСКИЙ 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hy-AM"/>
        </w:rPr>
        <w:t>ДЕТСКИЙ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hy-AM"/>
        </w:rPr>
        <w:t>САД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» 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ОНКО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4) ռուսերեն կրճատ` «</w:t>
      </w:r>
      <w:r w:rsidRPr="005B77A1">
        <w:rPr>
          <w:rFonts w:ascii="GHEA Grapalat" w:hAnsi="GHEA Grapalat" w:cs="Arial"/>
          <w:sz w:val="18"/>
          <w:szCs w:val="18"/>
          <w:lang w:val="ru-RU"/>
        </w:rPr>
        <w:t xml:space="preserve">АРАГАЦСКИЙ </w:t>
      </w:r>
      <w:r w:rsidRPr="005B77A1">
        <w:rPr>
          <w:rFonts w:ascii="GHEA Grapalat" w:hAnsi="GHEA Grapalat" w:cs="Arial Armenian"/>
          <w:sz w:val="18"/>
          <w:szCs w:val="18"/>
          <w:lang w:val="ru-RU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ru-RU"/>
        </w:rPr>
        <w:t>ДЕТСКИЙ</w:t>
      </w:r>
      <w:r w:rsidRPr="005B77A1">
        <w:rPr>
          <w:rFonts w:ascii="GHEA Grapalat" w:hAnsi="GHEA Grapalat" w:cs="Arial Armenian"/>
          <w:sz w:val="18"/>
          <w:szCs w:val="18"/>
          <w:lang w:val="hy-AM"/>
        </w:rPr>
        <w:t xml:space="preserve"> </w:t>
      </w:r>
      <w:r w:rsidRPr="005B77A1">
        <w:rPr>
          <w:rFonts w:ascii="GHEA Grapalat" w:hAnsi="GHEA Grapalat" w:cs="Arial"/>
          <w:sz w:val="18"/>
          <w:szCs w:val="18"/>
          <w:lang w:val="ru-RU"/>
        </w:rPr>
        <w:t>САД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»</w:t>
      </w:r>
    </w:p>
    <w:p w:rsidR="005B77A1" w:rsidRPr="005B77A1" w:rsidRDefault="005B77A1" w:rsidP="00C1460C">
      <w:pPr>
        <w:keepNext/>
        <w:spacing w:after="0" w:line="240" w:lineRule="auto"/>
        <w:jc w:val="both"/>
        <w:outlineLvl w:val="0"/>
        <w:rPr>
          <w:rFonts w:ascii="GHEA Grapalat" w:eastAsia="Times New Roman" w:hAnsi="GHEA Grapalat" w:cs="Times New Roman"/>
          <w:sz w:val="18"/>
          <w:szCs w:val="18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 xml:space="preserve">     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en-GB" w:eastAsia="ru-RU"/>
        </w:rPr>
        <w:t>5) անգլերեն լրիվ` «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ARAGATS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՛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S KINDERGARTEN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»</w:t>
      </w:r>
      <w:r w:rsidRPr="005B77A1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</w:t>
      </w:r>
      <w:r w:rsidRPr="005B77A1">
        <w:rPr>
          <w:rFonts w:ascii="GHEA Grapalat" w:eastAsia="Times New Roman" w:hAnsi="GHEA Grapalat" w:cs="Times New Roman"/>
          <w:sz w:val="18"/>
          <w:szCs w:val="18"/>
          <w:lang w:eastAsia="ru-RU"/>
        </w:rPr>
        <w:t>CNCO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անգլերեն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կրճատ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 «</w:t>
      </w:r>
      <w:r w:rsidRPr="005B77A1">
        <w:rPr>
          <w:rFonts w:ascii="GHEA Grapalat" w:hAnsi="GHEA Grapalat"/>
          <w:sz w:val="18"/>
          <w:szCs w:val="18"/>
        </w:rPr>
        <w:t>ARAGATS</w:t>
      </w:r>
      <w:r w:rsidRPr="005B77A1">
        <w:rPr>
          <w:rFonts w:ascii="GHEA Grapalat" w:hAnsi="GHEA Grapalat"/>
          <w:sz w:val="18"/>
          <w:szCs w:val="18"/>
          <w:lang w:val="hy-AM"/>
        </w:rPr>
        <w:t>՛</w:t>
      </w:r>
      <w:r w:rsidRPr="005B77A1">
        <w:rPr>
          <w:rFonts w:ascii="GHEA Grapalat" w:hAnsi="GHEA Grapalat"/>
          <w:sz w:val="18"/>
          <w:szCs w:val="18"/>
        </w:rPr>
        <w:t>S KINDERGARTEN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»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ունենալ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զինանշանի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Կնիքը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ձևաթղթերը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խորհրդանիշը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ձևավորելիս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զուգակցվել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կայք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որտեղ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հրապարակվում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հաստիքացուցակը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աշխատատեղերը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հայտարարությունները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ինքնուրույն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ԱՌԱՐԿԱՆ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ՆՊԱՏԱԿԸ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առարկան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ներդաշնակ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ամրապնդումն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հաղորդակցվելու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լեզուների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նախադրյալները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վարվեցողության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բնապահպանության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պատմության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մշակույթի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մտավոր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բարոյական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հայրենիքի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սիրո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նվիրվածության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տարրական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շեղումների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կանխարգելումն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շտկումը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նախապատրաստումը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ժողովրդավարության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մարդասիրության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համամարդկային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արժեքների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զուգորդման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աշխարհիկ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բնույթի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սկզբունքների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չափորոշիչին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ֆիզիոլոգիական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հակումներին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ընդունակություններին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անբաժանելի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ներառվել՝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ուսումնամեթոդական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հետազոտական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պահպանելով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տրանսպորտային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փոխադրումները։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տեսակները՝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մարզաառողջարարական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ճամբարներում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վճարովի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ռեսուրս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կենտրոններ՝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վերապատրաստման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միտված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դասընթացներ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ճկուն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ծառայություններ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երկարօրյա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խնամք։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3.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ԿԱՌՈՒՑՎԱԾՔԸ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երաշխավորված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այլընտրանքային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փորձարարական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մակարդակը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բովանդակային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բաղադրիչների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գիտելիքների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հմտությունների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ձևավորմամբ՝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ոլորտներին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ուղղություններին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22.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հայերենով՝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»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հոդվածի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6-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րդ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փոքրամասնությունների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մայրենի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ազգային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լեզվով՝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ուսուցմամբ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անկախ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դիմումի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ներկայացուցչի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առավելագույն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սկսվում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սեպտեմբերի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հարմարվողականության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փուլի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շաբաթական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պարապմունքների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թողած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ծավալը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տեղափոխումն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յուրաքանչյուր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մինչև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30-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համալրվում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ամբողջ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տարատարիք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տարբեր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յուրացնող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ըստ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տեսակների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0-3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մսուր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0-6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մանկապարտեզ՝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3-6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նախակրթարան՝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5-6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կենտրոն՝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0-6`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որևէ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Թույլատրվում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ցերեկային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երեկոյան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շուրջօրյա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հանգստյան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հաճախումը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բնագավառի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օրինակելի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սննդակազմի։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բուժկանխարգելիչ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միջոցառումների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սանիտարահիգիենիկ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նորմերի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ռեժիմի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ընդունվելիս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1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անգամ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ենթարկվում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բժշկական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զննության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ՄԱՍՆԱԿԻՑՆԵՐԸ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մասնակիցներն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լոգոպեդը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հոգեբանը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սոցիալական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ֆիզիկական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կուլտուրայի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բուժաշխատողը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մասնագետներ։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ընդունելության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օրինական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ներկայացուցիչներին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ծանոթացնել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փաստաթղթերի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կանոնակարգում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աշխատակիցների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փոխհարաբերությունները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հանդեպ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հարգանքի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ընդունվում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անձինք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որակավորումն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տարիֆաորակավորման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բնութագրերին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աշխատաժամանակի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տևողությունը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ԿԱՌԱՎԱՐՈՒՄԸ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այսուհետ՝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ցանկացած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փոփոխությունների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համակարգի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հանձնաժողովի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հաշվեկշռի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`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ընդհանուր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բնականոն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կասեցնում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ուժը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կորցրած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ճանաչում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հակասող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կարգադրություններն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կառուցվածքային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ստորաբաժանումների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իրավասությունները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լսում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քննում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հաշվեկշիռը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արդյունավետ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խորհրդակցական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հոգաբարձուների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շրջանավարտների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մարմիններ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օգոստոսյան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առաջին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խորհուրդը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ժամկետով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գրանցվում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արձանագրությունների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մատյանում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ընդգրկվում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բոլոր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վերապահված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ակտերի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չկատարելու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պատշաճ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Տնօրենը՝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շահերը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գործարքներ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նախագահում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նիստերը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գալու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վերալիազորման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լիազորագրեր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ազատում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կիրառում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խրախուսման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նշանակում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տույժեր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բանկերում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հաշիվներ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սույն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սահմաններում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արձակում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հրահանգներ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տալիս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պարտադիր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ցուցումներ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8)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անվանացանկի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պաշտոնի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նկարագրի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անցկացնում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թափուր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մրցույթը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կադրերի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կնքում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պայմանագրերը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բաշխում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9)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վերահսկողություն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պարտականությունների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10)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պաշտպանության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անվտանգության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տեխնիկայի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ցուցակն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ծախսերի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նախահաշիվը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չափորոշչին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խմբի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գործընթացի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բացակայության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հրամանի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լիազորություններն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իսկ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անհնարինության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5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փորձ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ունեցող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մասնագետը։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Մեթոդիստը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ուսումնական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տեղակալը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վերահսկում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կրթադաստիարակչական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արդյունքի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մեթոդկաբինետի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հաղորդակից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դարձնում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մանկավարժական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գիտությունների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նորույթներին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երեխաների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տարիքային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առանձնահատկությունների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վերաբերյալ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իրազեկման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կյանքի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առողջության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համակողմանի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ստեղծագործական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երևակայության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lastRenderedPageBreak/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մշտապես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համագործակցում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ընտանիքի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ժողովների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ղեկավարը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նախադպրոցական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ծրագրին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համատեղ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ծնողների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շրջանում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խորհրդատվություն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երաժշտական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գեղագիտական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դաստիարակության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հարցերի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շուրջ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վարիչը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տնօրենի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գծով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օգնականը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proofErr w:type="gramEnd"/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տնտեսական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սպասարկումը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մթերքի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մասնակցում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ճաշացուցակի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սննդամթերքի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պահանջագիր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հայտերի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կազմմանը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հետևում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տեղամասի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սարքավորումների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վիճակին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վերանորոգելու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4)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պատասխանատու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սպասարկող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անձնակազմի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աշխատանքային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կատարողական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կարգապահության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6.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ՖԻՆԱՆՍԱՏՆՏԵՍԱԿԱՆ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ԳՈՐԾՈՒՆԵՈՒԹՅՈՒՆԸ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ձևավորվում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ժամանակ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հետագայում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ինչպես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ընթացքում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բերված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օրենքին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հայեցողությամբ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տիրապետելու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պատկանող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հետո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մնացած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59.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պահպանման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հոգսը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բռնագանձում՝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դատական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հետ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վերցնելու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կողմից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նկատմամբ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գրավ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համարվող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շենքերը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բացառիկ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դեպքերում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h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աստատությունն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համաձայն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2020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թվականի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հունիսի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N 914-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վճարներից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դրամական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ուղղվում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65.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նախարարությունը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անհատույց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իրավունքով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ամրացված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տարածքների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մուտքագրված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20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տոկոսը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տվյալ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տարվա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վերջում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նախատեսված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պահուստային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ֆոնդից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ներկայացմամբ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lastRenderedPageBreak/>
        <w:t>որպես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իրենց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տրամադրում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կառավարումն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իրականացնող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լիազորված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մարմնին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համապատասխան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փոխանցելու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66.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հանձնվել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ավագանու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որոշմամբ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67.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վարձակալումից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եկամուտը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հանդիսանում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սեփականությունը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օգտագործվել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միայն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գործառույթների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68.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դեպքում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նրա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գույքի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օգտագործման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որոշում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69.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տնօրինում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70.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հիմնադիրը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: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հիմնադրի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հատկացումներից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71.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համայնքային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`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պետական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բյուջեից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մեկ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հաշվարկով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այդ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թվում՝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կրթության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զարգացման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առանձնահատուկ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պայմանների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ապահովման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համար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անհրաժեշտ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բարձրացված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չափաքանակը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կառավարությունը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72.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ֆինանսավորման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լրացուցիչ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աղբյուրներն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են՝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1)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ձեռնարկատիրական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իրականացումից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գոյացած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2)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բարեգործական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նպատակային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ներդրումները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վարձավճարները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,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օտարերկրյա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կազմակերպությունների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ու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քաղաքացիների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նվիրատվությունները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.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3)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չարգելված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կանոնադրական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խնդիրներին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չհակասող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գործունեությունից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ստացված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միջոցները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73.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գործունեության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տարեկան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ֆինանսական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հաշվետվությունների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հավաստիությունը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ենթակա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աուդիտի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(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վերստուգման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)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՝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կարգով։</w:t>
      </w:r>
      <w:bookmarkStart w:id="0" w:name="_GoBack"/>
      <w:bookmarkEnd w:id="0"/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ՀԱՍՏԱՏՈՒԹՅԱՆ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ՎԵՐԱԿԱԶՄԱԿԵՐՊՈՒՄԸ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ԵՎ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t>ԼՈՒԾԱՐՈՒՄԸ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:rsidR="005B77A1" w:rsidRPr="005B77A1" w:rsidRDefault="005B77A1" w:rsidP="00C1460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74.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Հաստատությունը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վերակազմակերպվում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և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լուծարվում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է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Հայաստանի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Հանրապետության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օրենսդրությամբ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սահմանված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 xml:space="preserve"> 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val="ru-RU" w:eastAsia="ru-RU"/>
        </w:rPr>
        <w:t>կարգով</w:t>
      </w:r>
      <w:r w:rsidRPr="005B77A1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:</w:t>
      </w: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578" w:type="pct"/>
        <w:tblCellSpacing w:w="6" w:type="dxa"/>
        <w:tblInd w:w="-82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25"/>
        <w:gridCol w:w="117"/>
      </w:tblGrid>
      <w:tr w:rsidR="005B77A1" w:rsidRPr="00C1460C" w:rsidTr="00C1460C">
        <w:trPr>
          <w:tblCellSpacing w:w="6" w:type="dxa"/>
        </w:trPr>
        <w:tc>
          <w:tcPr>
            <w:tcW w:w="10307" w:type="dxa"/>
            <w:shd w:val="clear" w:color="auto" w:fill="FFFFFF"/>
            <w:vAlign w:val="center"/>
            <w:hideMark/>
          </w:tcPr>
          <w:p w:rsidR="005B77A1" w:rsidRPr="00C1460C" w:rsidRDefault="00C1460C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      </w:t>
            </w:r>
            <w:r w:rsidRPr="00C146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ԱՇԽԱՏԱԿԱԶՄԻ ՔԱՐՏՈՒՂԱՐ՝          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         </w:t>
            </w:r>
            <w:r w:rsidRPr="00C146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          Ա</w:t>
            </w:r>
            <w:r w:rsidRPr="00C1460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 w:eastAsia="ru-RU"/>
              </w:rPr>
              <w:t>․</w:t>
            </w:r>
            <w:r w:rsidRPr="00C1460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C1460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ԱՌԱՔԵԼՅԱՆ</w:t>
            </w:r>
          </w:p>
          <w:p w:rsidR="005B77A1" w:rsidRPr="00C1460C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5B77A1" w:rsidRPr="00C1460C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  <w:p w:rsidR="005B77A1" w:rsidRPr="00C1460C" w:rsidRDefault="005B77A1" w:rsidP="005B77A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99" w:type="dxa"/>
            <w:shd w:val="clear" w:color="auto" w:fill="FFFFFF"/>
            <w:vAlign w:val="bottom"/>
            <w:hideMark/>
          </w:tcPr>
          <w:p w:rsidR="005B77A1" w:rsidRPr="00C1460C" w:rsidRDefault="005B77A1" w:rsidP="005B77A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1460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5B77A1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42"/>
        <w:gridCol w:w="3618"/>
      </w:tblGrid>
      <w:tr w:rsidR="005B77A1" w:rsidRPr="005B77A1" w:rsidTr="00BF6490">
        <w:trPr>
          <w:trHeight w:val="84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shd w:val="clear" w:color="auto" w:fill="FFFFFF"/>
            <w:vAlign w:val="bottom"/>
            <w:hideMark/>
          </w:tcPr>
          <w:p w:rsidR="005B77A1" w:rsidRPr="005B77A1" w:rsidRDefault="005B77A1" w:rsidP="005B77A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</w:tbl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5B77A1" w:rsidRPr="005B77A1" w:rsidRDefault="005B77A1" w:rsidP="005B77A1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32"/>
          <w:szCs w:val="21"/>
          <w:lang w:eastAsia="ru-RU"/>
        </w:rPr>
      </w:pPr>
    </w:p>
    <w:p w:rsidR="007372B4" w:rsidRPr="007372B4" w:rsidRDefault="007372B4" w:rsidP="007372B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sectPr w:rsidR="007372B4" w:rsidRPr="0073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E5E"/>
    <w:multiLevelType w:val="hybridMultilevel"/>
    <w:tmpl w:val="CC92B806"/>
    <w:lvl w:ilvl="0" w:tplc="9106089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E"/>
    <w:rsid w:val="002B3B4B"/>
    <w:rsid w:val="005B77A1"/>
    <w:rsid w:val="007372B4"/>
    <w:rsid w:val="008F0D5E"/>
    <w:rsid w:val="00C1460C"/>
    <w:rsid w:val="00E12717"/>
    <w:rsid w:val="00F2334B"/>
    <w:rsid w:val="00FF3859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F2EC"/>
  <w15:chartTrackingRefBased/>
  <w15:docId w15:val="{3FD65C82-A0E1-4FEC-847D-3280231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D5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b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D5E"/>
    <w:rPr>
      <w:rFonts w:ascii="Arial Armenian" w:eastAsia="Times New Roman" w:hAnsi="Arial Armenian" w:cs="Times New Roman"/>
      <w:b/>
      <w:szCs w:val="20"/>
      <w:lang w:val="en-GB" w:eastAsia="ru-RU"/>
    </w:rPr>
  </w:style>
  <w:style w:type="numbering" w:customStyle="1" w:styleId="NoList1">
    <w:name w:val="No List1"/>
    <w:next w:val="a2"/>
    <w:uiPriority w:val="99"/>
    <w:semiHidden/>
    <w:unhideWhenUsed/>
    <w:rsid w:val="008F0D5E"/>
  </w:style>
  <w:style w:type="paragraph" w:customStyle="1" w:styleId="msonormal0">
    <w:name w:val="msonormal"/>
    <w:basedOn w:val="a"/>
    <w:uiPriority w:val="99"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F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F0D5E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8F0D5E"/>
    <w:rPr>
      <w:b/>
      <w:bCs/>
    </w:rPr>
  </w:style>
  <w:style w:type="character" w:styleId="a6">
    <w:name w:val="Emphasis"/>
    <w:basedOn w:val="a0"/>
    <w:uiPriority w:val="20"/>
    <w:qFormat/>
    <w:rsid w:val="008F0D5E"/>
    <w:rPr>
      <w:i/>
      <w:iCs/>
    </w:rPr>
  </w:style>
  <w:style w:type="numbering" w:customStyle="1" w:styleId="NoList2">
    <w:name w:val="No List2"/>
    <w:next w:val="a2"/>
    <w:uiPriority w:val="99"/>
    <w:semiHidden/>
    <w:unhideWhenUsed/>
    <w:rsid w:val="007372B4"/>
  </w:style>
  <w:style w:type="numbering" w:customStyle="1" w:styleId="NoList3">
    <w:name w:val="No List3"/>
    <w:next w:val="a2"/>
    <w:uiPriority w:val="99"/>
    <w:semiHidden/>
    <w:unhideWhenUsed/>
    <w:rsid w:val="007372B4"/>
  </w:style>
  <w:style w:type="numbering" w:customStyle="1" w:styleId="NoList4">
    <w:name w:val="No List4"/>
    <w:next w:val="a2"/>
    <w:uiPriority w:val="99"/>
    <w:semiHidden/>
    <w:unhideWhenUsed/>
    <w:rsid w:val="002B3B4B"/>
  </w:style>
  <w:style w:type="numbering" w:customStyle="1" w:styleId="NoList5">
    <w:name w:val="No List5"/>
    <w:next w:val="a2"/>
    <w:uiPriority w:val="99"/>
    <w:semiHidden/>
    <w:unhideWhenUsed/>
    <w:rsid w:val="005B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5) անգլերեն լրիվ` «KINDERGARTEN NAMED GARNIK KARAPETYAN » CNCO </vt:lpstr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4</cp:revision>
  <dcterms:created xsi:type="dcterms:W3CDTF">2023-09-06T14:29:00Z</dcterms:created>
  <dcterms:modified xsi:type="dcterms:W3CDTF">2023-09-24T09:50:00Z</dcterms:modified>
</cp:coreProperties>
</file>